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12" w:rsidRPr="00E9726A" w:rsidRDefault="00E9726A" w:rsidP="00E9726A">
      <w:pPr>
        <w:contextualSpacing/>
        <w:jc w:val="center"/>
        <w:rPr>
          <w:b/>
        </w:rPr>
      </w:pPr>
      <w:r w:rsidRPr="00E9726A">
        <w:rPr>
          <w:b/>
        </w:rPr>
        <w:t>Homicide Rates in Medieval England, 1198-1348</w:t>
      </w:r>
    </w:p>
    <w:p w:rsidR="00E9726A" w:rsidRDefault="00E9726A" w:rsidP="00E9726A">
      <w:pPr>
        <w:contextualSpacing/>
      </w:pPr>
    </w:p>
    <w:p w:rsidR="00A66244" w:rsidRDefault="00A66244" w:rsidP="00A66244">
      <w:pPr>
        <w:contextualSpacing/>
        <w:jc w:val="center"/>
      </w:pPr>
    </w:p>
    <w:p w:rsidR="00A66244" w:rsidRDefault="00A66244" w:rsidP="00A66244">
      <w:pPr>
        <w:contextualSpacing/>
        <w:jc w:val="center"/>
      </w:pPr>
      <w:r>
        <w:t>Randolph Roth</w:t>
      </w:r>
    </w:p>
    <w:p w:rsidR="00A66244" w:rsidRDefault="00A66244" w:rsidP="00A66244">
      <w:pPr>
        <w:contextualSpacing/>
        <w:jc w:val="center"/>
      </w:pPr>
    </w:p>
    <w:p w:rsidR="00A66244" w:rsidRDefault="00A66244" w:rsidP="00A66244">
      <w:pPr>
        <w:contextualSpacing/>
        <w:jc w:val="center"/>
      </w:pPr>
      <w:r>
        <w:t>November 20, 2017</w:t>
      </w:r>
    </w:p>
    <w:p w:rsidR="00E9726A" w:rsidRDefault="00E9726A" w:rsidP="00E9726A">
      <w:pPr>
        <w:contextualSpacing/>
      </w:pPr>
    </w:p>
    <w:p w:rsidR="00915A13" w:rsidRDefault="00E9726A" w:rsidP="00E9726A">
      <w:pPr>
        <w:contextualSpacing/>
      </w:pPr>
      <w:r>
        <w:tab/>
        <w:t xml:space="preserve">Thanks to James Given </w:t>
      </w:r>
      <w:r w:rsidR="00915A13">
        <w:t xml:space="preserve">(1977) and Barbara </w:t>
      </w:r>
      <w:proofErr w:type="spellStart"/>
      <w:r w:rsidR="00915A13">
        <w:t>Hanawalt</w:t>
      </w:r>
      <w:proofErr w:type="spellEnd"/>
      <w:r w:rsidR="00915A13">
        <w:t xml:space="preserve"> (1979</w:t>
      </w:r>
      <w:r w:rsidR="005910E2">
        <w:t>)</w:t>
      </w:r>
      <w:r w:rsidR="00915A13">
        <w:t>, data</w:t>
      </w:r>
      <w:r w:rsidR="005910E2">
        <w:t xml:space="preserve"> on homicides in medieval England have been gathered from </w:t>
      </w:r>
      <w:r w:rsidR="00915A13">
        <w:t xml:space="preserve">six counties and </w:t>
      </w:r>
      <w:r w:rsidR="005910E2">
        <w:t xml:space="preserve">the city of </w:t>
      </w:r>
      <w:r w:rsidR="00915A13">
        <w:t>London</w:t>
      </w:r>
      <w:r w:rsidR="005910E2">
        <w:t xml:space="preserve"> in the thirteenth century</w:t>
      </w:r>
      <w:r w:rsidR="00915A13">
        <w:t xml:space="preserve">, and </w:t>
      </w:r>
      <w:r w:rsidR="005910E2">
        <w:t xml:space="preserve">from </w:t>
      </w:r>
      <w:r w:rsidR="00915A13">
        <w:t xml:space="preserve">eight counties in the first half of the fourteenth century. The thirteenth century data are from </w:t>
      </w:r>
      <w:r w:rsidR="00915A13" w:rsidRPr="00CC502A">
        <w:t>Eyre Courts</w:t>
      </w:r>
      <w:r w:rsidR="00915A13">
        <w:t>, which</w:t>
      </w:r>
      <w:r w:rsidR="00915A13" w:rsidRPr="00CC502A">
        <w:t xml:space="preserve"> were to record every suspected homicide</w:t>
      </w:r>
      <w:r w:rsidR="00915A13">
        <w:t xml:space="preserve"> that had occurred since the last session of the court was held. The fourteenth century data are from </w:t>
      </w:r>
      <w:proofErr w:type="spellStart"/>
      <w:r w:rsidR="00915A13" w:rsidRPr="00CC502A">
        <w:t>Gaol</w:t>
      </w:r>
      <w:proofErr w:type="spellEnd"/>
      <w:r w:rsidR="00915A13" w:rsidRPr="00CC502A">
        <w:t xml:space="preserve"> Delivery rolls, </w:t>
      </w:r>
      <w:r w:rsidR="00915A13">
        <w:t xml:space="preserve">which were </w:t>
      </w:r>
      <w:r w:rsidR="00915A13" w:rsidRPr="00CC502A">
        <w:t>less inclusive</w:t>
      </w:r>
      <w:r w:rsidR="00915A13">
        <w:t xml:space="preserve">. They </w:t>
      </w:r>
      <w:r w:rsidR="00915A13" w:rsidRPr="00CC502A">
        <w:t>were to list eve</w:t>
      </w:r>
      <w:r w:rsidR="002E6611">
        <w:t>ry person arrested for homicide. Historically, roughly two-thirds of suspected homicides ended in indictment or arrest. So even though it is impossible to know, in the absence of Eyre rolls</w:t>
      </w:r>
      <w:r w:rsidR="00F557CB">
        <w:t xml:space="preserve"> from the early fourteenth century</w:t>
      </w:r>
      <w:r w:rsidR="002E6611">
        <w:t xml:space="preserve">, how many homicides were known to the public, it is best, when comparing rates from </w:t>
      </w:r>
      <w:proofErr w:type="spellStart"/>
      <w:r w:rsidR="002E6611">
        <w:t>Gaol</w:t>
      </w:r>
      <w:proofErr w:type="spellEnd"/>
      <w:r w:rsidR="002E6611">
        <w:t xml:space="preserve"> Delivery rolls to those from Eyre Courts, to raise the rates from the </w:t>
      </w:r>
      <w:proofErr w:type="spellStart"/>
      <w:r w:rsidR="002E6611">
        <w:t>Gaol</w:t>
      </w:r>
      <w:proofErr w:type="spellEnd"/>
      <w:r w:rsidR="002E6611">
        <w:t xml:space="preserve"> Delivery rolls by </w:t>
      </w:r>
      <w:r w:rsidR="005A3C32">
        <w:t xml:space="preserve">at least </w:t>
      </w:r>
      <w:r w:rsidR="002E6611">
        <w:t>fifty percent.</w:t>
      </w:r>
    </w:p>
    <w:p w:rsidR="00915A13" w:rsidRDefault="002E6611" w:rsidP="00E9726A">
      <w:pPr>
        <w:contextualSpacing/>
      </w:pPr>
      <w:r>
        <w:tab/>
      </w:r>
      <w:r w:rsidR="00D14619">
        <w:t>If we use the “Estimates of County and Borough Populations of England, 1200-1589” from the Historical Violence Database, and homicide totals from Eyre Courts in Givens (1977: 14, 36), we get the following homicide rates</w:t>
      </w:r>
      <w:r w:rsidR="001E2E8C">
        <w:t xml:space="preserve"> per 100,000 persons per year</w:t>
      </w:r>
      <w:r w:rsidR="00D14619">
        <w:t xml:space="preserve">: </w:t>
      </w:r>
    </w:p>
    <w:p w:rsidR="00E10301" w:rsidRDefault="00E10301" w:rsidP="00E9726A">
      <w:pPr>
        <w:contextualSpacing/>
      </w:pPr>
    </w:p>
    <w:p w:rsidR="00E10301" w:rsidRDefault="00E10301" w:rsidP="00E9726A">
      <w:pPr>
        <w:contextualSpacing/>
      </w:pPr>
      <w:r>
        <w:tab/>
      </w:r>
      <w:r>
        <w:tab/>
        <w:t>Court</w:t>
      </w:r>
      <w:r>
        <w:tab/>
      </w:r>
      <w:r>
        <w:tab/>
        <w:t>Months</w:t>
      </w:r>
      <w:r>
        <w:tab/>
        <w:t>Homicides</w:t>
      </w:r>
      <w:r>
        <w:tab/>
        <w:t>Population</w:t>
      </w:r>
      <w:r>
        <w:tab/>
      </w:r>
      <w:r>
        <w:tab/>
        <w:t>Rates</w:t>
      </w:r>
    </w:p>
    <w:p w:rsidR="00D14619" w:rsidRDefault="00E10301" w:rsidP="00E9726A">
      <w:pPr>
        <w:contextualSpacing/>
      </w:pPr>
      <w:r>
        <w:tab/>
      </w:r>
      <w:r>
        <w:tab/>
        <w:t xml:space="preserve"> Years</w:t>
      </w:r>
      <w:r>
        <w:tab/>
      </w:r>
      <w:r>
        <w:tab/>
        <w:t xml:space="preserve"> covered</w:t>
      </w:r>
      <w:r>
        <w:tab/>
      </w:r>
      <w:r>
        <w:tab/>
      </w:r>
      <w:r>
        <w:tab/>
        <w:t xml:space="preserve"> years</w:t>
      </w:r>
    </w:p>
    <w:p w:rsidR="00E10301" w:rsidRDefault="00E10301" w:rsidP="00E9726A">
      <w:pPr>
        <w:contextualSpacing/>
      </w:pPr>
    </w:p>
    <w:p w:rsidR="001E2E8C" w:rsidRDefault="001E2E8C" w:rsidP="001E2E8C">
      <w:pPr>
        <w:contextualSpacing/>
      </w:pPr>
      <w:r>
        <w:t>Bedford</w:t>
      </w:r>
      <w:r>
        <w:tab/>
        <w:t>1222</w:t>
      </w:r>
      <w:r>
        <w:tab/>
      </w:r>
      <w:r>
        <w:tab/>
        <w:t xml:space="preserve">  22</w:t>
      </w:r>
      <w:r>
        <w:tab/>
      </w:r>
      <w:r>
        <w:tab/>
        <w:t xml:space="preserve">  47</w:t>
      </w:r>
      <w:r>
        <w:tab/>
      </w:r>
      <w:r>
        <w:tab/>
        <w:t xml:space="preserve">  224453</w:t>
      </w:r>
      <w:r>
        <w:tab/>
      </w:r>
      <w:r>
        <w:tab/>
        <w:t xml:space="preserve">  9.8</w:t>
      </w:r>
    </w:p>
    <w:p w:rsidR="001E2E8C" w:rsidRDefault="001E2E8C" w:rsidP="001E2E8C">
      <w:pPr>
        <w:contextualSpacing/>
      </w:pPr>
      <w:r>
        <w:t>Bedford</w:t>
      </w:r>
      <w:r>
        <w:tab/>
        <w:t>1227-8</w:t>
      </w:r>
      <w:r>
        <w:tab/>
      </w:r>
      <w:r>
        <w:tab/>
        <w:t xml:space="preserve">  58</w:t>
      </w:r>
      <w:r>
        <w:tab/>
      </w:r>
      <w:r>
        <w:tab/>
        <w:t>104</w:t>
      </w:r>
      <w:r>
        <w:tab/>
      </w:r>
      <w:r>
        <w:tab/>
        <w:t xml:space="preserve">  517662</w:t>
      </w:r>
      <w:r>
        <w:tab/>
      </w:r>
      <w:r>
        <w:tab/>
        <w:t>11.2</w:t>
      </w:r>
    </w:p>
    <w:p w:rsidR="001E2E8C" w:rsidRDefault="001E2E8C" w:rsidP="001E2E8C">
      <w:pPr>
        <w:contextualSpacing/>
      </w:pPr>
      <w:r>
        <w:t>Bedford</w:t>
      </w:r>
      <w:r>
        <w:tab/>
        <w:t>1247</w:t>
      </w:r>
      <w:r>
        <w:tab/>
      </w:r>
      <w:r>
        <w:tab/>
        <w:t xml:space="preserve">  69</w:t>
      </w:r>
      <w:r>
        <w:tab/>
      </w:r>
      <w:r>
        <w:tab/>
        <w:t xml:space="preserve">  83</w:t>
      </w:r>
      <w:r>
        <w:tab/>
      </w:r>
      <w:r>
        <w:tab/>
        <w:t xml:space="preserve">  409950</w:t>
      </w:r>
      <w:r>
        <w:tab/>
      </w:r>
      <w:r>
        <w:tab/>
        <w:t>16.8</w:t>
      </w:r>
    </w:p>
    <w:p w:rsidR="001E2E8C" w:rsidRDefault="001E2E8C" w:rsidP="001E2E8C">
      <w:pPr>
        <w:contextualSpacing/>
      </w:pPr>
      <w:r>
        <w:t>Bedford</w:t>
      </w:r>
      <w:r>
        <w:tab/>
        <w:t>1276</w:t>
      </w:r>
      <w:r>
        <w:tab/>
      </w:r>
      <w:r>
        <w:tab/>
        <w:t>172</w:t>
      </w:r>
      <w:r>
        <w:tab/>
      </w:r>
      <w:r>
        <w:tab/>
        <w:t>172</w:t>
      </w:r>
      <w:r>
        <w:tab/>
      </w:r>
      <w:r>
        <w:tab/>
        <w:t>1020793</w:t>
      </w:r>
      <w:r>
        <w:tab/>
      </w:r>
      <w:r>
        <w:tab/>
        <w:t>16.8</w:t>
      </w:r>
    </w:p>
    <w:p w:rsidR="001E2E8C" w:rsidRDefault="001E2E8C" w:rsidP="001E2E8C">
      <w:pPr>
        <w:contextualSpacing/>
      </w:pPr>
      <w:r>
        <w:t>Kent</w:t>
      </w:r>
      <w:r>
        <w:tab/>
      </w:r>
      <w:r>
        <w:tab/>
        <w:t>1227</w:t>
      </w:r>
      <w:r>
        <w:tab/>
      </w:r>
      <w:r>
        <w:tab/>
        <w:t>173</w:t>
      </w:r>
      <w:r>
        <w:tab/>
      </w:r>
      <w:r>
        <w:tab/>
        <w:t xml:space="preserve">  99</w:t>
      </w:r>
      <w:r>
        <w:tab/>
      </w:r>
      <w:r>
        <w:tab/>
        <w:t>1436172</w:t>
      </w:r>
      <w:r>
        <w:tab/>
      </w:r>
      <w:r>
        <w:tab/>
        <w:t>12.0</w:t>
      </w:r>
    </w:p>
    <w:p w:rsidR="001E2E8C" w:rsidRDefault="001E2E8C" w:rsidP="001E2E8C">
      <w:pPr>
        <w:contextualSpacing/>
      </w:pPr>
      <w:r>
        <w:t>Kent</w:t>
      </w:r>
      <w:r>
        <w:tab/>
      </w:r>
      <w:r>
        <w:tab/>
        <w:t>1241</w:t>
      </w:r>
      <w:r>
        <w:tab/>
      </w:r>
      <w:r>
        <w:tab/>
        <w:t>112</w:t>
      </w:r>
      <w:r>
        <w:tab/>
      </w:r>
      <w:r>
        <w:tab/>
        <w:t xml:space="preserve">  61</w:t>
      </w:r>
      <w:r>
        <w:tab/>
      </w:r>
      <w:r>
        <w:tab/>
        <w:t xml:space="preserve">  912448</w:t>
      </w:r>
      <w:r>
        <w:tab/>
      </w:r>
      <w:r>
        <w:tab/>
        <w:t>12.3</w:t>
      </w:r>
    </w:p>
    <w:p w:rsidR="001E2E8C" w:rsidRDefault="001E2E8C" w:rsidP="001E2E8C">
      <w:pPr>
        <w:contextualSpacing/>
      </w:pPr>
      <w:r>
        <w:t>Kent</w:t>
      </w:r>
      <w:r>
        <w:tab/>
      </w:r>
      <w:r>
        <w:tab/>
        <w:t>1255</w:t>
      </w:r>
      <w:r>
        <w:tab/>
      </w:r>
      <w:r>
        <w:tab/>
        <w:t>209</w:t>
      </w:r>
      <w:r>
        <w:tab/>
      </w:r>
      <w:r>
        <w:tab/>
        <w:t xml:space="preserve">  83</w:t>
      </w:r>
      <w:r>
        <w:tab/>
      </w:r>
      <w:r>
        <w:tab/>
        <w:t>1191865</w:t>
      </w:r>
      <w:r>
        <w:tab/>
      </w:r>
      <w:r>
        <w:tab/>
        <w:t>17.5</w:t>
      </w:r>
    </w:p>
    <w:p w:rsidR="001E2E8C" w:rsidRDefault="001E2E8C" w:rsidP="001E2E8C">
      <w:pPr>
        <w:contextualSpacing/>
      </w:pPr>
      <w:r>
        <w:t>Norfolk</w:t>
      </w:r>
      <w:r>
        <w:tab/>
        <w:t>1250</w:t>
      </w:r>
      <w:r>
        <w:tab/>
      </w:r>
      <w:r>
        <w:tab/>
        <w:t>127</w:t>
      </w:r>
      <w:r>
        <w:tab/>
      </w:r>
      <w:r>
        <w:tab/>
        <w:t xml:space="preserve">  62</w:t>
      </w:r>
      <w:r>
        <w:tab/>
      </w:r>
      <w:r>
        <w:tab/>
        <w:t>1458738</w:t>
      </w:r>
      <w:r>
        <w:tab/>
      </w:r>
      <w:r>
        <w:tab/>
        <w:t xml:space="preserve">  8.7</w:t>
      </w:r>
    </w:p>
    <w:p w:rsidR="001E2E8C" w:rsidRDefault="001E2E8C" w:rsidP="001E2E8C">
      <w:pPr>
        <w:contextualSpacing/>
      </w:pPr>
      <w:r>
        <w:t>Norfolk</w:t>
      </w:r>
      <w:r>
        <w:tab/>
        <w:t>1257</w:t>
      </w:r>
      <w:r>
        <w:tab/>
      </w:r>
      <w:r>
        <w:tab/>
        <w:t>193</w:t>
      </w:r>
      <w:r>
        <w:tab/>
      </w:r>
      <w:r>
        <w:tab/>
        <w:t xml:space="preserve">  78</w:t>
      </w:r>
      <w:r>
        <w:tab/>
      </w:r>
      <w:r>
        <w:tab/>
        <w:t>1849469</w:t>
      </w:r>
      <w:r>
        <w:tab/>
      </w:r>
      <w:r>
        <w:tab/>
        <w:t>10.4</w:t>
      </w:r>
    </w:p>
    <w:p w:rsidR="001E2E8C" w:rsidRDefault="001E2E8C" w:rsidP="001E2E8C">
      <w:pPr>
        <w:contextualSpacing/>
      </w:pPr>
      <w:r>
        <w:t>Norfolk</w:t>
      </w:r>
      <w:r>
        <w:tab/>
        <w:t>1268-9</w:t>
      </w:r>
      <w:r>
        <w:tab/>
      </w:r>
      <w:r>
        <w:tab/>
        <w:t>399</w:t>
      </w:r>
      <w:r>
        <w:tab/>
      </w:r>
      <w:r>
        <w:tab/>
        <w:t>130</w:t>
      </w:r>
      <w:r>
        <w:tab/>
      </w:r>
      <w:r>
        <w:tab/>
        <w:t>3510089</w:t>
      </w:r>
      <w:r>
        <w:tab/>
      </w:r>
      <w:r>
        <w:tab/>
        <w:t>11.4</w:t>
      </w:r>
    </w:p>
    <w:p w:rsidR="001E2E8C" w:rsidRDefault="001E2E8C" w:rsidP="001E2E8C">
      <w:pPr>
        <w:contextualSpacing/>
      </w:pPr>
      <w:r>
        <w:t>Oxford</w:t>
      </w:r>
      <w:r>
        <w:tab/>
      </w:r>
      <w:r>
        <w:tab/>
        <w:t>1241</w:t>
      </w:r>
      <w:r>
        <w:tab/>
      </w:r>
      <w:r>
        <w:tab/>
        <w:t xml:space="preserve">  59</w:t>
      </w:r>
      <w:r>
        <w:tab/>
      </w:r>
      <w:r>
        <w:tab/>
        <w:t xml:space="preserve">  69</w:t>
      </w:r>
      <w:r>
        <w:tab/>
      </w:r>
      <w:r>
        <w:tab/>
        <w:t xml:space="preserve">  473704</w:t>
      </w:r>
      <w:r>
        <w:tab/>
      </w:r>
      <w:r>
        <w:tab/>
        <w:t>12.5</w:t>
      </w:r>
    </w:p>
    <w:p w:rsidR="001E2E8C" w:rsidRDefault="001E2E8C" w:rsidP="001E2E8C">
      <w:pPr>
        <w:contextualSpacing/>
      </w:pPr>
      <w:r>
        <w:t>Oxford</w:t>
      </w:r>
      <w:r>
        <w:tab/>
      </w:r>
      <w:r>
        <w:tab/>
        <w:t>1247</w:t>
      </w:r>
      <w:r>
        <w:tab/>
      </w:r>
      <w:r>
        <w:tab/>
        <w:t>116</w:t>
      </w:r>
      <w:r>
        <w:tab/>
      </w:r>
      <w:r>
        <w:tab/>
        <w:t xml:space="preserve">  78</w:t>
      </w:r>
      <w:r>
        <w:tab/>
      </w:r>
      <w:r>
        <w:tab/>
        <w:t xml:space="preserve">  517258</w:t>
      </w:r>
      <w:r>
        <w:tab/>
      </w:r>
      <w:r>
        <w:tab/>
        <w:t>22.4</w:t>
      </w:r>
    </w:p>
    <w:p w:rsidR="001E2E8C" w:rsidRDefault="001E2E8C" w:rsidP="001E2E8C">
      <w:pPr>
        <w:contextualSpacing/>
      </w:pPr>
      <w:r>
        <w:t>Oxford</w:t>
      </w:r>
      <w:r>
        <w:tab/>
      </w:r>
      <w:r>
        <w:tab/>
        <w:t>1261</w:t>
      </w:r>
      <w:r>
        <w:tab/>
      </w:r>
      <w:r>
        <w:tab/>
        <w:t>134</w:t>
      </w:r>
      <w:r>
        <w:tab/>
      </w:r>
      <w:r>
        <w:tab/>
        <w:t xml:space="preserve">  99</w:t>
      </w:r>
      <w:r>
        <w:tab/>
      </w:r>
      <w:r>
        <w:tab/>
        <w:t xml:space="preserve">  678947</w:t>
      </w:r>
      <w:r>
        <w:tab/>
      </w:r>
      <w:r>
        <w:tab/>
        <w:t>19.7</w:t>
      </w:r>
    </w:p>
    <w:p w:rsidR="001E2E8C" w:rsidRDefault="001E2E8C" w:rsidP="001E2E8C">
      <w:pPr>
        <w:contextualSpacing/>
      </w:pPr>
      <w:r>
        <w:t>Warwick</w:t>
      </w:r>
      <w:r>
        <w:tab/>
        <w:t>1221-2</w:t>
      </w:r>
      <w:r>
        <w:tab/>
      </w:r>
      <w:r>
        <w:tab/>
        <w:t>158</w:t>
      </w:r>
      <w:r>
        <w:tab/>
      </w:r>
      <w:r>
        <w:tab/>
        <w:t>155</w:t>
      </w:r>
      <w:r>
        <w:tab/>
      </w:r>
      <w:r>
        <w:tab/>
        <w:t>1034620</w:t>
      </w:r>
      <w:r>
        <w:tab/>
      </w:r>
      <w:r>
        <w:tab/>
        <w:t>15.3</w:t>
      </w:r>
    </w:p>
    <w:p w:rsidR="001E2E8C" w:rsidRDefault="001E2E8C" w:rsidP="001E2E8C">
      <w:pPr>
        <w:contextualSpacing/>
      </w:pPr>
      <w:r>
        <w:t>Warwick</w:t>
      </w:r>
      <w:r>
        <w:tab/>
        <w:t>1232</w:t>
      </w:r>
      <w:r>
        <w:tab/>
      </w:r>
      <w:r>
        <w:tab/>
        <w:t>114</w:t>
      </w:r>
      <w:r>
        <w:tab/>
      </w:r>
      <w:r>
        <w:tab/>
        <w:t xml:space="preserve">  67</w:t>
      </w:r>
      <w:r>
        <w:tab/>
      </w:r>
      <w:r>
        <w:tab/>
        <w:t xml:space="preserve">  508146</w:t>
      </w:r>
      <w:r>
        <w:tab/>
      </w:r>
      <w:r>
        <w:tab/>
        <w:t>22.4</w:t>
      </w:r>
    </w:p>
    <w:p w:rsidR="001E2E8C" w:rsidRDefault="001E2E8C" w:rsidP="001E2E8C">
      <w:pPr>
        <w:contextualSpacing/>
      </w:pPr>
      <w:r>
        <w:t>Warwick</w:t>
      </w:r>
      <w:r>
        <w:tab/>
        <w:t>1247</w:t>
      </w:r>
      <w:r>
        <w:tab/>
      </w:r>
      <w:r>
        <w:tab/>
        <w:t>104</w:t>
      </w:r>
      <w:r>
        <w:tab/>
      </w:r>
      <w:r>
        <w:tab/>
        <w:t xml:space="preserve">  82</w:t>
      </w:r>
      <w:r>
        <w:tab/>
      </w:r>
      <w:r>
        <w:tab/>
        <w:t xml:space="preserve">  602528</w:t>
      </w:r>
      <w:r>
        <w:tab/>
      </w:r>
      <w:r>
        <w:tab/>
        <w:t>17.3</w:t>
      </w:r>
    </w:p>
    <w:p w:rsidR="001E2E8C" w:rsidRDefault="001E2E8C" w:rsidP="001E2E8C">
      <w:pPr>
        <w:contextualSpacing/>
      </w:pPr>
      <w:r>
        <w:t>Bristol</w:t>
      </w:r>
      <w:r>
        <w:tab/>
      </w:r>
      <w:r>
        <w:tab/>
        <w:t>1221</w:t>
      </w:r>
      <w:r>
        <w:tab/>
      </w:r>
      <w:r>
        <w:tab/>
        <w:t xml:space="preserve">  11</w:t>
      </w:r>
      <w:r>
        <w:tab/>
      </w:r>
      <w:r>
        <w:tab/>
        <w:t>212</w:t>
      </w:r>
      <w:r>
        <w:tab/>
      </w:r>
      <w:r>
        <w:tab/>
        <w:t xml:space="preserve">  187758</w:t>
      </w:r>
      <w:r>
        <w:tab/>
      </w:r>
      <w:r>
        <w:tab/>
        <w:t xml:space="preserve">  5.9</w:t>
      </w:r>
    </w:p>
    <w:p w:rsidR="001E2E8C" w:rsidRDefault="001E2E8C" w:rsidP="001E2E8C">
      <w:pPr>
        <w:contextualSpacing/>
      </w:pPr>
      <w:r>
        <w:t>Bristol</w:t>
      </w:r>
      <w:r>
        <w:tab/>
      </w:r>
      <w:r>
        <w:tab/>
        <w:t>1248</w:t>
      </w:r>
      <w:r>
        <w:tab/>
      </w:r>
      <w:r>
        <w:tab/>
        <w:t xml:space="preserve">    5</w:t>
      </w:r>
      <w:r>
        <w:tab/>
      </w:r>
      <w:r>
        <w:tab/>
        <w:t xml:space="preserve">  83</w:t>
      </w:r>
      <w:r>
        <w:tab/>
      </w:r>
      <w:r>
        <w:tab/>
        <w:t xml:space="preserve">    84622</w:t>
      </w:r>
      <w:r>
        <w:tab/>
      </w:r>
      <w:r>
        <w:tab/>
        <w:t xml:space="preserve">  5.9</w:t>
      </w:r>
    </w:p>
    <w:p w:rsidR="001E2E8C" w:rsidRDefault="001E2E8C" w:rsidP="001E2E8C">
      <w:pPr>
        <w:contextualSpacing/>
      </w:pPr>
      <w:r>
        <w:t>London</w:t>
      </w:r>
      <w:r>
        <w:tab/>
        <w:t>1244</w:t>
      </w:r>
      <w:r>
        <w:tab/>
      </w:r>
      <w:r>
        <w:tab/>
        <w:t xml:space="preserve">  54</w:t>
      </w:r>
      <w:r>
        <w:tab/>
      </w:r>
      <w:r>
        <w:tab/>
        <w:t>216</w:t>
      </w:r>
      <w:r>
        <w:tab/>
      </w:r>
      <w:r>
        <w:tab/>
        <w:t xml:space="preserve">  840737</w:t>
      </w:r>
      <w:r>
        <w:tab/>
      </w:r>
      <w:r>
        <w:tab/>
        <w:t xml:space="preserve">  6.4</w:t>
      </w:r>
    </w:p>
    <w:p w:rsidR="001E2E8C" w:rsidRDefault="001E2E8C" w:rsidP="001E2E8C">
      <w:pPr>
        <w:contextualSpacing/>
      </w:pPr>
      <w:r>
        <w:t>London</w:t>
      </w:r>
      <w:r>
        <w:tab/>
        <w:t>1276</w:t>
      </w:r>
      <w:r>
        <w:tab/>
      </w:r>
      <w:r>
        <w:tab/>
        <w:t>145</w:t>
      </w:r>
      <w:r>
        <w:tab/>
      </w:r>
      <w:r>
        <w:tab/>
        <w:t>290</w:t>
      </w:r>
      <w:r>
        <w:tab/>
      </w:r>
      <w:r>
        <w:tab/>
        <w:t>1236053</w:t>
      </w:r>
      <w:r>
        <w:tab/>
      </w:r>
      <w:r>
        <w:tab/>
        <w:t>11.7</w:t>
      </w:r>
    </w:p>
    <w:p w:rsidR="005A3C32" w:rsidRDefault="005A3C32" w:rsidP="00E9726A">
      <w:pPr>
        <w:contextualSpacing/>
      </w:pPr>
    </w:p>
    <w:p w:rsidR="00D14619" w:rsidRDefault="00D14619" w:rsidP="00E9726A">
      <w:pPr>
        <w:contextualSpacing/>
      </w:pPr>
      <w:r>
        <w:lastRenderedPageBreak/>
        <w:t xml:space="preserve">When we use the series of population estimates and the homicide totals from </w:t>
      </w:r>
      <w:proofErr w:type="spellStart"/>
      <w:r>
        <w:t>Gaol</w:t>
      </w:r>
      <w:proofErr w:type="spellEnd"/>
      <w:r>
        <w:t xml:space="preserve"> Delivery rolls in </w:t>
      </w:r>
      <w:proofErr w:type="spellStart"/>
      <w:r>
        <w:t>Hanawalt</w:t>
      </w:r>
      <w:proofErr w:type="spellEnd"/>
      <w:r>
        <w:t xml:space="preserve"> (1979: 66-67), we get the following homicide rates, one set from the raw data, the other by multiplying the rates from the raw data by 1.5. Note that these rates do not include years for which </w:t>
      </w:r>
      <w:proofErr w:type="spellStart"/>
      <w:r>
        <w:t>Hanawalt</w:t>
      </w:r>
      <w:proofErr w:type="spellEnd"/>
      <w:r>
        <w:t xml:space="preserve"> reports missing data in each particular county.</w:t>
      </w:r>
    </w:p>
    <w:p w:rsidR="00D14619" w:rsidRDefault="00D14619" w:rsidP="00E9726A">
      <w:pPr>
        <w:contextualSpacing/>
      </w:pPr>
    </w:p>
    <w:p w:rsidR="00D14619" w:rsidRDefault="00D14619" w:rsidP="00E9726A">
      <w:pPr>
        <w:contextualSpacing/>
      </w:pPr>
      <w:r>
        <w:tab/>
      </w:r>
      <w:r>
        <w:tab/>
      </w:r>
      <w:r w:rsidR="00470B6A">
        <w:tab/>
        <w:t>Arrests</w:t>
      </w:r>
      <w:r w:rsidR="00470B6A">
        <w:tab/>
      </w:r>
      <w:r w:rsidR="00470B6A">
        <w:tab/>
        <w:t>Population years</w:t>
      </w:r>
      <w:r w:rsidR="00470B6A">
        <w:tab/>
        <w:t>Rate</w:t>
      </w:r>
      <w:r w:rsidR="00470B6A">
        <w:tab/>
      </w:r>
      <w:r w:rsidR="00470B6A">
        <w:tab/>
        <w:t>Rate * 1.5</w:t>
      </w:r>
    </w:p>
    <w:p w:rsidR="00D14619" w:rsidRDefault="00D14619" w:rsidP="00E9726A">
      <w:pPr>
        <w:contextualSpacing/>
      </w:pPr>
    </w:p>
    <w:p w:rsidR="00D14619" w:rsidRDefault="00D14619" w:rsidP="00D14619">
      <w:pPr>
        <w:contextualSpacing/>
      </w:pPr>
      <w:r>
        <w:t>Norfolk</w:t>
      </w:r>
      <w:r>
        <w:tab/>
      </w:r>
      <w:r>
        <w:tab/>
        <w:t xml:space="preserve">  491</w:t>
      </w:r>
      <w:r>
        <w:tab/>
      </w:r>
      <w:r>
        <w:tab/>
        <w:t>15861795</w:t>
      </w:r>
      <w:r>
        <w:tab/>
      </w:r>
      <w:r>
        <w:tab/>
        <w:t xml:space="preserve">  3.1</w:t>
      </w:r>
      <w:r>
        <w:tab/>
      </w:r>
      <w:r>
        <w:tab/>
        <w:t xml:space="preserve">  4.6</w:t>
      </w:r>
    </w:p>
    <w:p w:rsidR="00D14619" w:rsidRDefault="00D14619" w:rsidP="00D14619">
      <w:pPr>
        <w:contextualSpacing/>
      </w:pPr>
      <w:proofErr w:type="spellStart"/>
      <w:r>
        <w:t>Northamptonshire</w:t>
      </w:r>
      <w:proofErr w:type="spellEnd"/>
      <w:r>
        <w:tab/>
        <w:t xml:space="preserve">  297</w:t>
      </w:r>
      <w:r>
        <w:tab/>
      </w:r>
      <w:r>
        <w:tab/>
      </w:r>
      <w:r w:rsidR="00470B6A">
        <w:t xml:space="preserve">  </w:t>
      </w:r>
      <w:r>
        <w:t>4440944</w:t>
      </w:r>
      <w:r>
        <w:tab/>
      </w:r>
      <w:r>
        <w:tab/>
        <w:t xml:space="preserve">  6.7</w:t>
      </w:r>
      <w:r>
        <w:tab/>
      </w:r>
      <w:r>
        <w:tab/>
        <w:t>10.0</w:t>
      </w:r>
    </w:p>
    <w:p w:rsidR="00D14619" w:rsidRDefault="00D14619" w:rsidP="00D14619">
      <w:pPr>
        <w:contextualSpacing/>
      </w:pPr>
      <w:r>
        <w:t>Yorkshire</w:t>
      </w:r>
      <w:r>
        <w:tab/>
      </w:r>
      <w:r>
        <w:tab/>
        <w:t>1311</w:t>
      </w:r>
      <w:r>
        <w:tab/>
      </w:r>
      <w:r>
        <w:tab/>
        <w:t>15739081</w:t>
      </w:r>
      <w:r>
        <w:tab/>
      </w:r>
      <w:r>
        <w:tab/>
        <w:t xml:space="preserve">  8.3</w:t>
      </w:r>
      <w:r>
        <w:tab/>
      </w:r>
      <w:r>
        <w:tab/>
        <w:t>12.5</w:t>
      </w:r>
    </w:p>
    <w:p w:rsidR="00D14619" w:rsidRDefault="00D14619" w:rsidP="00D14619">
      <w:pPr>
        <w:contextualSpacing/>
      </w:pPr>
      <w:r>
        <w:t xml:space="preserve">Huntingdonshire </w:t>
      </w:r>
      <w:r>
        <w:tab/>
        <w:t xml:space="preserve">    84</w:t>
      </w:r>
      <w:r>
        <w:tab/>
      </w:r>
      <w:r>
        <w:tab/>
      </w:r>
      <w:r w:rsidR="00470B6A">
        <w:t xml:space="preserve">  </w:t>
      </w:r>
      <w:r>
        <w:t>1005886</w:t>
      </w:r>
      <w:r>
        <w:tab/>
      </w:r>
      <w:r>
        <w:tab/>
        <w:t xml:space="preserve">  8.4</w:t>
      </w:r>
      <w:r>
        <w:tab/>
      </w:r>
      <w:r>
        <w:tab/>
        <w:t>12.5</w:t>
      </w:r>
    </w:p>
    <w:p w:rsidR="00D14619" w:rsidRDefault="00D14619" w:rsidP="00D14619">
      <w:pPr>
        <w:contextualSpacing/>
      </w:pPr>
      <w:r>
        <w:t>Essex</w:t>
      </w:r>
      <w:r>
        <w:tab/>
      </w:r>
      <w:r>
        <w:tab/>
      </w:r>
      <w:r>
        <w:tab/>
        <w:t xml:space="preserve">  319</w:t>
      </w:r>
      <w:r>
        <w:tab/>
      </w:r>
      <w:r>
        <w:tab/>
      </w:r>
      <w:r w:rsidR="00470B6A">
        <w:t xml:space="preserve">  </w:t>
      </w:r>
      <w:r>
        <w:t>5974903</w:t>
      </w:r>
      <w:r>
        <w:tab/>
      </w:r>
      <w:r>
        <w:tab/>
        <w:t xml:space="preserve">  5.3</w:t>
      </w:r>
      <w:r>
        <w:tab/>
      </w:r>
      <w:r>
        <w:tab/>
        <w:t xml:space="preserve">  8.0</w:t>
      </w:r>
    </w:p>
    <w:p w:rsidR="00D14619" w:rsidRDefault="00D14619" w:rsidP="00D14619">
      <w:pPr>
        <w:contextualSpacing/>
      </w:pPr>
      <w:r>
        <w:t>Somerset</w:t>
      </w:r>
      <w:r>
        <w:tab/>
      </w:r>
      <w:r>
        <w:tab/>
        <w:t xml:space="preserve">  186</w:t>
      </w:r>
      <w:r>
        <w:tab/>
      </w:r>
      <w:r>
        <w:tab/>
      </w:r>
      <w:r w:rsidR="00470B6A">
        <w:t xml:space="preserve">  </w:t>
      </w:r>
      <w:r>
        <w:t>3201628</w:t>
      </w:r>
      <w:r>
        <w:tab/>
      </w:r>
      <w:r>
        <w:tab/>
        <w:t xml:space="preserve">  5.8</w:t>
      </w:r>
      <w:r>
        <w:tab/>
      </w:r>
      <w:r>
        <w:tab/>
        <w:t xml:space="preserve">  8.7</w:t>
      </w:r>
    </w:p>
    <w:p w:rsidR="00D14619" w:rsidRDefault="00D14619" w:rsidP="00D14619">
      <w:pPr>
        <w:contextualSpacing/>
      </w:pPr>
      <w:r>
        <w:t>Herefordshire</w:t>
      </w:r>
      <w:r>
        <w:tab/>
      </w:r>
      <w:r>
        <w:tab/>
        <w:t xml:space="preserve">  179</w:t>
      </w:r>
      <w:r>
        <w:tab/>
      </w:r>
      <w:r>
        <w:tab/>
      </w:r>
      <w:r w:rsidR="00470B6A">
        <w:t xml:space="preserve">  </w:t>
      </w:r>
      <w:r>
        <w:t>1172296</w:t>
      </w:r>
      <w:r>
        <w:tab/>
      </w:r>
      <w:r>
        <w:tab/>
        <w:t>15.3</w:t>
      </w:r>
      <w:r>
        <w:tab/>
      </w:r>
      <w:r>
        <w:tab/>
        <w:t>22.9</w:t>
      </w:r>
    </w:p>
    <w:p w:rsidR="00D14619" w:rsidRDefault="00D14619" w:rsidP="00D14619">
      <w:pPr>
        <w:contextualSpacing/>
      </w:pPr>
      <w:r>
        <w:t>Surrey</w:t>
      </w:r>
      <w:r>
        <w:tab/>
      </w:r>
      <w:r>
        <w:tab/>
      </w:r>
      <w:r>
        <w:tab/>
        <w:t xml:space="preserve">    85</w:t>
      </w:r>
      <w:r>
        <w:tab/>
      </w:r>
      <w:r>
        <w:tab/>
      </w:r>
      <w:r w:rsidR="00470B6A">
        <w:t xml:space="preserve">  </w:t>
      </w:r>
      <w:r>
        <w:t>1741358</w:t>
      </w:r>
      <w:r>
        <w:tab/>
      </w:r>
      <w:r>
        <w:tab/>
        <w:t xml:space="preserve">  4.9</w:t>
      </w:r>
      <w:r>
        <w:tab/>
      </w:r>
      <w:r>
        <w:tab/>
        <w:t xml:space="preserve">  7.3</w:t>
      </w:r>
    </w:p>
    <w:p w:rsidR="00D14619" w:rsidRDefault="00D14619" w:rsidP="00E9726A">
      <w:pPr>
        <w:contextualSpacing/>
      </w:pPr>
    </w:p>
    <w:p w:rsidR="0027568C" w:rsidRDefault="0027568C" w:rsidP="00E9726A">
      <w:pPr>
        <w:contextualSpacing/>
      </w:pPr>
    </w:p>
    <w:p w:rsidR="006D2DF1" w:rsidRDefault="0027568C" w:rsidP="00E9726A">
      <w:pPr>
        <w:contextualSpacing/>
      </w:pPr>
      <w:r>
        <w:t xml:space="preserve">These rates overstate the homicide rate, however, because so many homicides in medieval England led to multiple arrests. Working from Professor </w:t>
      </w:r>
      <w:proofErr w:type="spellStart"/>
      <w:r>
        <w:t>Hanawalt’s</w:t>
      </w:r>
      <w:proofErr w:type="spellEnd"/>
      <w:r>
        <w:t xml:space="preserve"> notes for Herefordshire and Surrey, which are available on the Historical Violence Database, I determined that the number of homicide victims list in the </w:t>
      </w:r>
      <w:proofErr w:type="spellStart"/>
      <w:r>
        <w:t>Gaol</w:t>
      </w:r>
      <w:proofErr w:type="spellEnd"/>
      <w:r>
        <w:t xml:space="preserve"> Delivery records in those counties, as opposed to arrests, were only 149 and 68, respectively. I have not yet had time to work through Professor </w:t>
      </w:r>
      <w:proofErr w:type="spellStart"/>
      <w:r>
        <w:t>Hanawalt’s</w:t>
      </w:r>
      <w:proofErr w:type="spellEnd"/>
      <w:r>
        <w:t xml:space="preserve"> notes for the other counties in her study, but the homicide victimization rates were lower than the arrest rates</w:t>
      </w:r>
      <w:r w:rsidR="005C2FAE">
        <w:t xml:space="preserve"> by a fifth for Surrey and a sixth for Herefordshire</w:t>
      </w:r>
      <w:r>
        <w:t>.</w:t>
      </w:r>
    </w:p>
    <w:p w:rsidR="0027568C" w:rsidRDefault="0027568C" w:rsidP="00E9726A">
      <w:pPr>
        <w:contextualSpacing/>
      </w:pPr>
    </w:p>
    <w:p w:rsidR="0027568C" w:rsidRDefault="0027568C" w:rsidP="0027568C">
      <w:pPr>
        <w:contextualSpacing/>
      </w:pPr>
      <w:r>
        <w:t>Herefordshire</w:t>
      </w:r>
      <w:r>
        <w:tab/>
      </w:r>
      <w:r>
        <w:tab/>
        <w:t>149</w:t>
      </w:r>
      <w:r>
        <w:tab/>
      </w:r>
      <w:r>
        <w:tab/>
        <w:t xml:space="preserve">  1172296</w:t>
      </w:r>
      <w:r>
        <w:tab/>
      </w:r>
      <w:r>
        <w:tab/>
        <w:t>12.7</w:t>
      </w:r>
      <w:r>
        <w:tab/>
      </w:r>
      <w:r>
        <w:tab/>
        <w:t>19.1</w:t>
      </w:r>
    </w:p>
    <w:p w:rsidR="0027568C" w:rsidRDefault="0027568C" w:rsidP="0027568C">
      <w:pPr>
        <w:contextualSpacing/>
      </w:pPr>
      <w:r>
        <w:t>Surrey</w:t>
      </w:r>
      <w:r>
        <w:tab/>
      </w:r>
      <w:r>
        <w:tab/>
      </w:r>
      <w:r>
        <w:tab/>
        <w:t xml:space="preserve">  68</w:t>
      </w:r>
      <w:r>
        <w:tab/>
      </w:r>
      <w:r>
        <w:tab/>
        <w:t xml:space="preserve">  1741358</w:t>
      </w:r>
      <w:r>
        <w:tab/>
      </w:r>
      <w:r>
        <w:tab/>
        <w:t xml:space="preserve">  3.9</w:t>
      </w:r>
      <w:r>
        <w:tab/>
      </w:r>
      <w:r>
        <w:tab/>
        <w:t xml:space="preserve">  5.9</w:t>
      </w:r>
    </w:p>
    <w:p w:rsidR="0027568C" w:rsidRDefault="0027568C" w:rsidP="00E9726A">
      <w:pPr>
        <w:contextualSpacing/>
      </w:pPr>
    </w:p>
    <w:p w:rsidR="00D14619" w:rsidRDefault="00AC7273" w:rsidP="00E9726A">
      <w:pPr>
        <w:contextualSpacing/>
      </w:pPr>
      <w:r>
        <w:t xml:space="preserve">If we aggregate the data from all of the counties with data from Eyre Courts, </w:t>
      </w:r>
      <w:r w:rsidR="00710CB0">
        <w:t xml:space="preserve">we arrive at a homicide rate of </w:t>
      </w:r>
      <w:r w:rsidR="00604E0F">
        <w:t xml:space="preserve">13 per 100,000 persons per year in the thirteenth century. And if we aggregate the data from all the counties with data from the </w:t>
      </w:r>
      <w:proofErr w:type="spellStart"/>
      <w:r w:rsidR="00604E0F">
        <w:t>Gaol</w:t>
      </w:r>
      <w:proofErr w:type="spellEnd"/>
      <w:r w:rsidR="00604E0F">
        <w:t xml:space="preserve"> Delivery rolls, multiply by fifty percent, and discount that rate by a sixth to account for the lower number of homicide victims than homicide arrests, we arrive at a homicide rate of 7.5 per 100,000 persons per year in the first half of the fourteenth century. </w:t>
      </w:r>
    </w:p>
    <w:p w:rsidR="00604E0F" w:rsidRDefault="00604E0F" w:rsidP="00E9726A">
      <w:pPr>
        <w:contextualSpacing/>
      </w:pPr>
    </w:p>
    <w:p w:rsidR="00604E0F" w:rsidRDefault="00604E0F" w:rsidP="00604E0F">
      <w:pPr>
        <w:ind w:firstLine="720"/>
        <w:contextualSpacing/>
      </w:pPr>
      <w:r>
        <w:t>Rate for thirteenth century</w:t>
      </w:r>
      <w:r>
        <w:tab/>
      </w:r>
      <w:r>
        <w:tab/>
        <w:t>13.0</w:t>
      </w:r>
    </w:p>
    <w:p w:rsidR="00604E0F" w:rsidRDefault="00604E0F" w:rsidP="00604E0F">
      <w:pPr>
        <w:ind w:firstLine="720"/>
        <w:contextualSpacing/>
      </w:pPr>
      <w:r>
        <w:t>Rate for early fourteenth century</w:t>
      </w:r>
      <w:r>
        <w:tab/>
        <w:t xml:space="preserve">  7.5</w:t>
      </w:r>
    </w:p>
    <w:p w:rsidR="00604E0F" w:rsidRDefault="00604E0F" w:rsidP="00E9726A">
      <w:pPr>
        <w:contextualSpacing/>
      </w:pPr>
    </w:p>
    <w:p w:rsidR="005A3C32" w:rsidRDefault="005A3C32" w:rsidP="00E9726A">
      <w:pPr>
        <w:contextualSpacing/>
      </w:pPr>
      <w:r>
        <w:tab/>
        <w:t>However, it may prove that even the Eyre records understate the homicide rate considerably. Extrapolating from the surviving coroner’s records from Bedfordshire, which cover roughly the same period (1265-1275) as the last Eyre Court studied by Givens (1261-1276), it appears that there were 73 percent more homicides reported per year by the county’s coroner’s than by the county’s Eyre Court. The difference wo</w:t>
      </w:r>
      <w:r w:rsidR="00094A10">
        <w:t>uld mean a homicide rate of 25.2</w:t>
      </w:r>
      <w:r>
        <w:t xml:space="preserve"> per 100,000 persons per year, rather than 16.8 per 100,000.</w:t>
      </w:r>
      <w:r w:rsidR="00E25685">
        <w:t xml:space="preserve"> See “Homicide Rates in Bedfordshire” (Historical Violence Database).</w:t>
      </w:r>
    </w:p>
    <w:p w:rsidR="005A3C32" w:rsidRDefault="005A3C32" w:rsidP="00E9726A">
      <w:pPr>
        <w:contextualSpacing/>
      </w:pPr>
    </w:p>
    <w:p w:rsidR="00FF5718" w:rsidRDefault="00FF5718" w:rsidP="00E9726A">
      <w:pPr>
        <w:contextualSpacing/>
      </w:pPr>
      <w:r>
        <w:lastRenderedPageBreak/>
        <w:tab/>
        <w:t>Note</w:t>
      </w:r>
      <w:r w:rsidR="005A3C32">
        <w:t>, however,</w:t>
      </w:r>
      <w:r>
        <w:t xml:space="preserve"> that probably half of all homicide victims in medieval England would have survived today with the help of modern emergency services, surgery, wound care, antisepsis, and antibiotics. </w:t>
      </w:r>
      <w:r w:rsidR="008A6B5A">
        <w:t xml:space="preserve">So even if we assume a 73 percent undercount in the Eyre records, the rate at which people suffered life-threatening assaults in medieval England would be comparable to </w:t>
      </w:r>
      <w:r>
        <w:t xml:space="preserve">the homicide rate in the United States from the late 1960s through the early 1990s, which averaged around 9 per 100,000 per year. </w:t>
      </w:r>
      <w:r w:rsidR="008A6B5A">
        <w:t>And it would be far lower than the rate in the Russian Federation since the collapse of the Soviet Union, which rose to 35 to 40 per 100,000 persons per year.</w:t>
      </w:r>
    </w:p>
    <w:p w:rsidR="00E9726A" w:rsidRPr="00DB42EA" w:rsidRDefault="00E9726A" w:rsidP="00E25685">
      <w:pPr>
        <w:contextualSpacing/>
      </w:pPr>
    </w:p>
    <w:p w:rsidR="00DB42EA" w:rsidRDefault="00DB42EA" w:rsidP="00E25685">
      <w:pPr>
        <w:contextualSpacing/>
      </w:pPr>
      <w:r w:rsidRPr="00DB42EA">
        <w:t xml:space="preserve">NOTE: </w:t>
      </w:r>
      <w:r>
        <w:t xml:space="preserve">It will be possible, using the research notes that Barbara </w:t>
      </w:r>
      <w:proofErr w:type="spellStart"/>
      <w:r>
        <w:t>Hanawalt</w:t>
      </w:r>
      <w:proofErr w:type="spellEnd"/>
      <w:r>
        <w:t xml:space="preserve"> contributed to the Historical Violence Database, to create victim-based datasets of the homicides that were reported in the counties she studied. I have completed those datasets for two of the counties she studied.</w:t>
      </w:r>
    </w:p>
    <w:p w:rsidR="00DB42EA" w:rsidRDefault="00DB42EA" w:rsidP="00E25685">
      <w:pPr>
        <w:contextualSpacing/>
      </w:pPr>
    </w:p>
    <w:p w:rsidR="00DB42EA" w:rsidRDefault="00DB42EA" w:rsidP="00E25685">
      <w:pPr>
        <w:contextualSpacing/>
      </w:pPr>
    </w:p>
    <w:p w:rsidR="00655C15" w:rsidRDefault="00655C15" w:rsidP="00E25685">
      <w:pPr>
        <w:contextualSpacing/>
      </w:pPr>
      <w:r>
        <w:t>EXCEL and CSV files</w:t>
      </w:r>
    </w:p>
    <w:p w:rsidR="00655C15" w:rsidRDefault="00655C15" w:rsidP="00E25685">
      <w:pPr>
        <w:contextualSpacing/>
      </w:pPr>
    </w:p>
    <w:p w:rsidR="00DB42EA" w:rsidRDefault="00DB42EA" w:rsidP="00E25685">
      <w:pPr>
        <w:contextualSpacing/>
      </w:pPr>
    </w:p>
    <w:p w:rsidR="00DB42EA" w:rsidRDefault="00DB42EA" w:rsidP="00E25685">
      <w:pPr>
        <w:contextualSpacing/>
      </w:pPr>
      <w:r>
        <w:t xml:space="preserve">Herefordshire Homicide Victim Data 1300-1355 from </w:t>
      </w:r>
      <w:proofErr w:type="spellStart"/>
      <w:r>
        <w:t>Hanawalt</w:t>
      </w:r>
      <w:proofErr w:type="spellEnd"/>
    </w:p>
    <w:p w:rsidR="00655C15" w:rsidRDefault="00655C15" w:rsidP="00E25685">
      <w:pPr>
        <w:contextualSpacing/>
      </w:pPr>
    </w:p>
    <w:p w:rsidR="00DB42EA" w:rsidRDefault="00655C15" w:rsidP="00E25685">
      <w:pPr>
        <w:contextualSpacing/>
      </w:pPr>
      <w:bookmarkStart w:id="0" w:name="_GoBack"/>
      <w:bookmarkEnd w:id="0"/>
      <w:r>
        <w:t xml:space="preserve">Surry Homicide Victim Data 1302-1344 from </w:t>
      </w:r>
      <w:proofErr w:type="spellStart"/>
      <w:r>
        <w:t>Hanawalt</w:t>
      </w:r>
      <w:proofErr w:type="spellEnd"/>
    </w:p>
    <w:p w:rsidR="00DB42EA" w:rsidRPr="00DB42EA" w:rsidRDefault="00DB42EA" w:rsidP="00E25685">
      <w:pPr>
        <w:contextualSpacing/>
      </w:pPr>
    </w:p>
    <w:p w:rsidR="00DB42EA" w:rsidRPr="00DB42EA" w:rsidRDefault="00DB42EA" w:rsidP="00E25685">
      <w:pPr>
        <w:contextualSpacing/>
      </w:pPr>
    </w:p>
    <w:p w:rsidR="00E25685" w:rsidRPr="00DB42EA" w:rsidRDefault="00E25685" w:rsidP="00E25685">
      <w:pPr>
        <w:contextualSpacing/>
      </w:pPr>
    </w:p>
    <w:p w:rsidR="00E9726A" w:rsidRPr="00E9726A" w:rsidRDefault="00E9726A" w:rsidP="00E9726A">
      <w:pPr>
        <w:contextualSpacing/>
        <w:jc w:val="center"/>
        <w:rPr>
          <w:b/>
        </w:rPr>
      </w:pPr>
      <w:r w:rsidRPr="00E9726A">
        <w:rPr>
          <w:b/>
        </w:rPr>
        <w:t>References</w:t>
      </w:r>
    </w:p>
    <w:p w:rsidR="00E9726A" w:rsidRDefault="00E9726A" w:rsidP="00E9726A">
      <w:pPr>
        <w:contextualSpacing/>
      </w:pPr>
    </w:p>
    <w:p w:rsidR="00E9726A" w:rsidRDefault="00E9726A" w:rsidP="00E9726A">
      <w:pPr>
        <w:contextualSpacing/>
      </w:pPr>
      <w:r>
        <w:t xml:space="preserve">Given, James Buchannan (1977) </w:t>
      </w:r>
      <w:r w:rsidRPr="007C011A">
        <w:rPr>
          <w:i/>
        </w:rPr>
        <w:t>Society and Homicide in Thirteenth-Century England</w:t>
      </w:r>
      <w:r>
        <w:t>. Stanford: Stanford University Press.</w:t>
      </w:r>
    </w:p>
    <w:p w:rsidR="00E9726A" w:rsidRDefault="00E9726A" w:rsidP="00E9726A">
      <w:pPr>
        <w:contextualSpacing/>
      </w:pPr>
    </w:p>
    <w:p w:rsidR="00E9726A" w:rsidRDefault="00E9726A" w:rsidP="00E9726A">
      <w:pPr>
        <w:tabs>
          <w:tab w:val="left" w:pos="-720"/>
        </w:tabs>
        <w:suppressAutoHyphens/>
        <w:contextualSpacing/>
        <w:rPr>
          <w:rFonts w:cs="Proportional"/>
        </w:rPr>
      </w:pPr>
      <w:proofErr w:type="spellStart"/>
      <w:r w:rsidRPr="00FE6DCC">
        <w:rPr>
          <w:rFonts w:cs="Proportional"/>
        </w:rPr>
        <w:t>Hanawalt</w:t>
      </w:r>
      <w:proofErr w:type="spellEnd"/>
      <w:r w:rsidRPr="00FE6DCC">
        <w:rPr>
          <w:rFonts w:cs="Proportional"/>
        </w:rPr>
        <w:t xml:space="preserve">, Barbara A. (1979) </w:t>
      </w:r>
      <w:r w:rsidRPr="00FE6DCC">
        <w:rPr>
          <w:rFonts w:cs="Proportional"/>
          <w:i/>
          <w:iCs/>
        </w:rPr>
        <w:t>Crime and Conflict in English Communities, 1300-1348</w:t>
      </w:r>
      <w:r w:rsidRPr="00FE6DCC">
        <w:rPr>
          <w:rFonts w:cs="Proportional"/>
        </w:rPr>
        <w:t>. Cambridge: Harvard University Press.</w:t>
      </w:r>
    </w:p>
    <w:p w:rsidR="00E9726A" w:rsidRDefault="00E9726A" w:rsidP="00E9726A">
      <w:pPr>
        <w:tabs>
          <w:tab w:val="left" w:pos="-720"/>
        </w:tabs>
        <w:suppressAutoHyphens/>
        <w:contextualSpacing/>
        <w:rPr>
          <w:rFonts w:cs="Proportional"/>
        </w:rPr>
      </w:pPr>
    </w:p>
    <w:p w:rsidR="00E9726A" w:rsidRDefault="00E9726A" w:rsidP="00E9726A">
      <w:pPr>
        <w:contextualSpacing/>
      </w:pPr>
    </w:p>
    <w:p w:rsidR="00E9726A" w:rsidRDefault="00E9726A" w:rsidP="00E9726A">
      <w:pPr>
        <w:contextualSpacing/>
      </w:pPr>
    </w:p>
    <w:p w:rsidR="00E9726A" w:rsidRDefault="00E9726A" w:rsidP="00E9726A">
      <w:pPr>
        <w:contextualSpacing/>
      </w:pPr>
    </w:p>
    <w:p w:rsidR="00E9726A" w:rsidRDefault="00E9726A" w:rsidP="00E9726A">
      <w:pPr>
        <w:contextualSpacing/>
      </w:pPr>
    </w:p>
    <w:p w:rsidR="00E9726A" w:rsidRDefault="00E9726A" w:rsidP="00E9726A">
      <w:pPr>
        <w:contextualSpacing/>
      </w:pPr>
    </w:p>
    <w:p w:rsidR="00E9726A" w:rsidRDefault="00E9726A" w:rsidP="00E9726A">
      <w:pPr>
        <w:contextualSpacing/>
      </w:pPr>
    </w:p>
    <w:p w:rsidR="00E9726A" w:rsidRDefault="00E9726A" w:rsidP="00E9726A">
      <w:pPr>
        <w:contextualSpacing/>
      </w:pPr>
    </w:p>
    <w:sectPr w:rsidR="00E9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portional">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6A"/>
    <w:rsid w:val="00094A10"/>
    <w:rsid w:val="001E2E8C"/>
    <w:rsid w:val="0027568C"/>
    <w:rsid w:val="002E6611"/>
    <w:rsid w:val="00470B6A"/>
    <w:rsid w:val="005910E2"/>
    <w:rsid w:val="005A3C32"/>
    <w:rsid w:val="005C2FAE"/>
    <w:rsid w:val="00604E0F"/>
    <w:rsid w:val="00655C15"/>
    <w:rsid w:val="006D2DF1"/>
    <w:rsid w:val="00710CB0"/>
    <w:rsid w:val="008A6B5A"/>
    <w:rsid w:val="00915A13"/>
    <w:rsid w:val="00A66244"/>
    <w:rsid w:val="00AC7273"/>
    <w:rsid w:val="00BE3A12"/>
    <w:rsid w:val="00D14619"/>
    <w:rsid w:val="00DB42EA"/>
    <w:rsid w:val="00E10301"/>
    <w:rsid w:val="00E25685"/>
    <w:rsid w:val="00E9726A"/>
    <w:rsid w:val="00F557CB"/>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4DE1"/>
  <w15:chartTrackingRefBased/>
  <w15:docId w15:val="{A577035C-13B6-491C-A94D-5E403EE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Randolph A.</dc:creator>
  <cp:keywords/>
  <dc:description/>
  <cp:lastModifiedBy>Roth, Randolph A.</cp:lastModifiedBy>
  <cp:revision>23</cp:revision>
  <dcterms:created xsi:type="dcterms:W3CDTF">2017-11-20T20:18:00Z</dcterms:created>
  <dcterms:modified xsi:type="dcterms:W3CDTF">2018-03-15T15:13:00Z</dcterms:modified>
</cp:coreProperties>
</file>